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after="322" w:before="322"/>
        <w:rPr>
          <w:rFonts w:ascii="Times New Roman" w:hAnsi="Times New Roman" w:cs="Times New Roman" w:eastAsia="Times New Roman"/>
          <w:sz w:val="4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0"/>
      </w:pPr>
      <w:r/>
      <w:r/>
      <w:r>
        <w:rPr>
          <w:rFonts w:ascii="Times New Roman" w:hAnsi="Times New Roman" w:cs="Times New Roman" w:eastAsia="Times New Roman"/>
          <w:b/>
          <w:color w:val="000000"/>
          <w:sz w:val="48"/>
        </w:rPr>
        <w:t xml:space="preserve">ГИА — 9</w:t>
      </w:r>
      <w:r/>
    </w:p>
    <w:p>
      <w:pPr>
        <w:ind w:left="0" w:right="0" w:firstLine="0"/>
        <w:jc w:val="center"/>
        <w:spacing w:after="319" w:before="319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3"/>
      </w:pPr>
      <w:r>
        <w:rPr>
          <w:rFonts w:ascii="Times New Roman" w:hAnsi="Times New Roman" w:cs="Times New Roman" w:eastAsia="Times New Roman"/>
          <w:b/>
          <w:color w:val="800080"/>
          <w:sz w:val="24"/>
        </w:rPr>
        <w:t xml:space="preserve">1.Информация об организации итогового собеседования по русскому языку (ИС-9)</w:t>
      </w:r>
      <w:r/>
    </w:p>
    <w:p>
      <w:pPr>
        <w:ind w:left="0" w:right="0" w:firstLine="0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1.1. Подача заявлений на участие в ИС-9</w:t>
      </w:r>
      <w:r/>
    </w:p>
    <w:tbl>
      <w:tblPr>
        <w:tblStyle w:val="44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611"/>
        <w:gridCol w:w="3963"/>
        <w:gridCol w:w="2781"/>
      </w:tblGrid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261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Категории участников ИС-9</w:t>
            </w:r>
            <w:r/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396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Места подачи ИС-9</w:t>
            </w:r>
            <w:r/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278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Сроки участия</w:t>
            </w:r>
            <w:r/>
          </w:p>
          <w:p>
            <w:pPr>
              <w:ind w:left="0" w:right="0" w:firstLine="0"/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в ИС-9</w:t>
            </w:r>
            <w:r/>
          </w:p>
        </w:tc>
      </w:tr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2611" w:type="dxa"/>
            <w:textDirection w:val="lrTb"/>
            <w:noWrap w:val="false"/>
          </w:tcPr>
          <w:p>
            <w:pPr>
              <w:pStyle w:val="179"/>
              <w:numPr>
                <w:ilvl w:val="0"/>
                <w:numId w:val="1"/>
              </w:numPr>
              <w:ind w:right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выпускники 9 классов подают </w:t>
            </w:r>
            <w:hyperlink r:id="rId8" w:history="1">
              <w:r>
                <w:rPr>
                  <w:rStyle w:val="66"/>
                  <w:rFonts w:ascii="Times New Roman" w:hAnsi="Times New Roman" w:cs="Times New Roman" w:eastAsia="Times New Roman"/>
                  <w:color w:val="0000EE"/>
                  <w:sz w:val="24"/>
                  <w:u w:val="single"/>
                </w:rPr>
                <w:t xml:space="preserve">заявления на участие в ИС-9</w:t>
              </w:r>
            </w:hyperlink>
            <w:r/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3963" w:type="dxa"/>
            <w:textDirection w:val="lrTb"/>
            <w:noWrap w:val="false"/>
          </w:tcPr>
          <w:p>
            <w:pPr>
              <w:spacing w:lineRule="atLeast" w:line="57" w:after="0" w:befor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 образовательных организациях, в которых проходят обучение</w:t>
            </w:r>
            <w:r/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278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 февраля 2025 г. (регистрация осуществляется до 29 января 2025 г.)</w:t>
            </w:r>
            <w:r/>
          </w:p>
          <w:p>
            <w:pPr>
              <w:ind w:left="0" w:right="0" w:firstLine="0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Дополнительные сроки:</w:t>
            </w:r>
            <w:r/>
          </w:p>
          <w:p>
            <w:pPr>
              <w:ind w:left="0" w:right="0" w:firstLine="0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 марта 2025 г. (регистрация осуществляется до 26 февраля 2025 г.)</w:t>
            </w:r>
            <w:r/>
          </w:p>
          <w:p>
            <w:pPr>
              <w:ind w:left="0" w:right="0" w:firstLine="0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21 апреля 2025 г. (регистрация осуществляется до 7 апреля 2025 г.)</w:t>
            </w:r>
            <w:r/>
          </w:p>
        </w:tc>
      </w:tr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2611" w:type="dxa"/>
            <w:textDirection w:val="lrTb"/>
            <w:noWrap w:val="false"/>
          </w:tcPr>
          <w:p>
            <w:pPr>
              <w:pStyle w:val="179"/>
              <w:numPr>
                <w:ilvl w:val="0"/>
                <w:numId w:val="2"/>
              </w:numPr>
              <w:ind w:right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экстерны подают </w:t>
            </w:r>
            <w:hyperlink r:id="rId9" w:history="1">
              <w:r>
                <w:rPr>
                  <w:rStyle w:val="66"/>
                  <w:rFonts w:ascii="Times New Roman" w:hAnsi="Times New Roman" w:cs="Times New Roman" w:eastAsia="Times New Roman"/>
                  <w:color w:val="0000EE"/>
                  <w:sz w:val="24"/>
                  <w:u w:val="single"/>
                </w:rPr>
                <w:t xml:space="preserve">заявления на участие в ИС-9</w:t>
              </w:r>
            </w:hyperlink>
            <w:r/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3963" w:type="dxa"/>
            <w:textDirection w:val="lrTb"/>
            <w:noWrap w:val="false"/>
          </w:tcPr>
          <w:p>
            <w:pPr>
              <w:spacing w:lineRule="atLeast" w:line="57" w:after="0" w:befor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 образовательных организациях, выбранных экстерном (</w:t>
            </w:r>
            <w:hyperlink r:id="rId10" w:history="1">
              <w:r>
                <w:rPr>
                  <w:rStyle w:val="66"/>
                  <w:rFonts w:ascii="Times New Roman" w:hAnsi="Times New Roman" w:cs="Times New Roman" w:eastAsia="Times New Roman"/>
                  <w:color w:val="0000EE"/>
                  <w:sz w:val="24"/>
                  <w:u w:val="single"/>
                </w:rPr>
                <w:t xml:space="preserve">адреса и контактные телефоны МОУО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)</w:t>
            </w:r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ind w:left="0" w:right="0" w:firstLine="0"/>
        <w:jc w:val="both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Заявления на ИС-9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подаются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лично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участниками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  <w:r/>
    </w:p>
    <w:p>
      <w:pPr>
        <w:ind w:left="0" w:right="0" w:firstLine="0"/>
        <w:jc w:val="both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1.2. Ознакомление с результатами ИС-9</w:t>
      </w:r>
      <w:r/>
    </w:p>
    <w:p>
      <w:pPr>
        <w:ind w:left="0" w:right="0" w:firstLine="0"/>
        <w:jc w:val="both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С результатами итогового собеседования по русскому языку можно ознакомиться в местах подачи заявления на ИС-9 в следующие сроки:</w:t>
      </w:r>
      <w:r/>
    </w:p>
    <w:tbl>
      <w:tblPr>
        <w:tblStyle w:val="44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343"/>
        <w:gridCol w:w="4012"/>
      </w:tblGrid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534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Дата проведения ИС-9</w:t>
            </w:r>
            <w:r/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401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Сроки ознакомления</w:t>
            </w:r>
            <w:r/>
          </w:p>
        </w:tc>
      </w:tr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5343" w:type="dxa"/>
            <w:textDirection w:val="lrTb"/>
            <w:noWrap w:val="false"/>
          </w:tcPr>
          <w:p>
            <w:pPr>
              <w:spacing w:lineRule="atLeast" w:line="57" w:after="0" w:befor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Основной срок: 12 февраля 2025г.</w:t>
            </w:r>
            <w:r/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4012" w:type="dxa"/>
            <w:textDirection w:val="lrTb"/>
            <w:noWrap w:val="false"/>
          </w:tcPr>
          <w:p>
            <w:pPr>
              <w:spacing w:lineRule="atLeast" w:line="57" w:after="0" w:befor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не позднее 24 февраля 2025 г.</w:t>
            </w:r>
            <w:r/>
          </w:p>
        </w:tc>
      </w:tr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5343" w:type="dxa"/>
            <w:textDirection w:val="lrTb"/>
            <w:noWrap w:val="false"/>
          </w:tcPr>
          <w:p>
            <w:pPr>
              <w:spacing w:lineRule="atLeast" w:line="57" w:after="0" w:befor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Дополнительный срок: 12 марта 2025 г.</w:t>
            </w:r>
            <w:r/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4012" w:type="dxa"/>
            <w:textDirection w:val="lrTb"/>
            <w:noWrap w:val="false"/>
          </w:tcPr>
          <w:p>
            <w:pPr>
              <w:spacing w:lineRule="atLeast" w:line="57" w:after="0" w:befor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не позднее 24 марта 2025 г.</w:t>
            </w:r>
            <w:r/>
          </w:p>
        </w:tc>
      </w:tr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5343" w:type="dxa"/>
            <w:textDirection w:val="lrTb"/>
            <w:noWrap w:val="false"/>
          </w:tcPr>
          <w:p>
            <w:pPr>
              <w:spacing w:lineRule="atLeast" w:line="57" w:after="0" w:befor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Дополнительный срок: 21 апреля 2025 г.</w:t>
            </w:r>
            <w:r/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4012" w:type="dxa"/>
            <w:textDirection w:val="lrTb"/>
            <w:noWrap w:val="false"/>
          </w:tcPr>
          <w:p>
            <w:pPr>
              <w:spacing w:lineRule="atLeast" w:line="57" w:after="0" w:befor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не позднее 29 апреля 2025 г.</w:t>
            </w:r>
            <w:r/>
          </w:p>
        </w:tc>
      </w:tr>
    </w:tbl>
    <w:p>
      <w:pPr>
        <w:ind w:left="0" w:right="0" w:firstLine="0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after="319" w:before="319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3"/>
      </w:pPr>
      <w:r>
        <w:rPr>
          <w:rFonts w:ascii="Times New Roman" w:hAnsi="Times New Roman" w:cs="Times New Roman" w:eastAsia="Times New Roman"/>
          <w:b/>
          <w:color w:val="800080"/>
          <w:sz w:val="24"/>
        </w:rPr>
        <w:t xml:space="preserve">2. Информация об организации государственной итоговой аттестации по образовательным программам основного общего образования в форме основного государственного экзамена и государственного выпускного экзамена (ГИА-9)</w:t>
      </w:r>
      <w:r/>
    </w:p>
    <w:p>
      <w:pPr>
        <w:ind w:left="0" w:right="0" w:firstLine="0"/>
        <w:jc w:val="both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2.1. Подача заявлений на участие в ГИА-9.</w:t>
      </w:r>
      <w:r/>
    </w:p>
    <w:p>
      <w:pPr>
        <w:ind w:left="0" w:right="0" w:firstLine="0"/>
        <w:jc w:val="both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Подача заявлений на участие в ГИА-9 проводится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до 01 марта 2025 г. (включительно). </w:t>
      </w:r>
      <w:r/>
    </w:p>
    <w:p>
      <w:pPr>
        <w:ind w:left="0" w:right="0" w:firstLine="0"/>
        <w:jc w:val="both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Заявления на ОГЭ и ГВЭ-9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подаются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лично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участниками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  <w:r/>
    </w:p>
    <w:tbl>
      <w:tblPr>
        <w:tblStyle w:val="44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479"/>
        <w:gridCol w:w="4214"/>
        <w:gridCol w:w="1661"/>
      </w:tblGrid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347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Категории участников ГИА-9</w:t>
            </w:r>
            <w:r/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421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Места подачи ГИА-9</w:t>
            </w:r>
            <w:r/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166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Сроки участия</w:t>
            </w:r>
            <w:r/>
          </w:p>
          <w:p>
            <w:pPr>
              <w:ind w:left="0" w:right="0" w:firstLine="0"/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в ГИА-9</w:t>
            </w:r>
            <w:r/>
          </w:p>
        </w:tc>
      </w:tr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3479" w:type="dxa"/>
            <w:textDirection w:val="lrTb"/>
            <w:noWrap w:val="false"/>
          </w:tcPr>
          <w:p>
            <w:pPr>
              <w:pStyle w:val="179"/>
              <w:numPr>
                <w:ilvl w:val="0"/>
                <w:numId w:val="3"/>
              </w:numPr>
              <w:ind w:right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выпускники 9 классов подают </w:t>
            </w:r>
            <w:hyperlink r:id="rId11" w:history="1">
              <w:r>
                <w:rPr>
                  <w:rStyle w:val="66"/>
                  <w:rFonts w:ascii="Times New Roman" w:hAnsi="Times New Roman" w:cs="Times New Roman" w:eastAsia="Times New Roman"/>
                  <w:color w:val="0000EE"/>
                  <w:sz w:val="24"/>
                  <w:u w:val="single"/>
                </w:rPr>
                <w:t xml:space="preserve">заявления на участие в ГИА-9</w:t>
              </w:r>
            </w:hyperlink>
            <w:r/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4214" w:type="dxa"/>
            <w:textDirection w:val="lrTb"/>
            <w:noWrap w:val="false"/>
          </w:tcPr>
          <w:p>
            <w:pPr>
              <w:spacing w:lineRule="atLeast" w:line="57" w:after="0" w:befor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 образовательных организациях, в которых проходят обучение</w:t>
            </w:r>
            <w:r/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1661" w:type="dxa"/>
            <w:textDirection w:val="lrTb"/>
            <w:noWrap w:val="false"/>
          </w:tcPr>
          <w:p>
            <w:pPr>
              <w:pStyle w:val="179"/>
              <w:numPr>
                <w:ilvl w:val="0"/>
                <w:numId w:val="4"/>
              </w:numPr>
              <w:ind w:right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досрочный период (апрель-май);</w:t>
            </w:r>
            <w:r/>
          </w:p>
          <w:p>
            <w:pPr>
              <w:pStyle w:val="179"/>
              <w:numPr>
                <w:ilvl w:val="0"/>
                <w:numId w:val="4"/>
              </w:numPr>
              <w:ind w:right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основной период (май-июль);</w:t>
            </w:r>
            <w:r/>
          </w:p>
          <w:p>
            <w:pPr>
              <w:pStyle w:val="179"/>
              <w:numPr>
                <w:ilvl w:val="0"/>
                <w:numId w:val="4"/>
              </w:numPr>
              <w:ind w:right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дополнительные сроки (сентябрь)</w:t>
            </w:r>
            <w:r/>
          </w:p>
        </w:tc>
      </w:tr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3479" w:type="dxa"/>
            <w:textDirection w:val="lrTb"/>
            <w:noWrap w:val="false"/>
          </w:tcPr>
          <w:p>
            <w:pPr>
              <w:pStyle w:val="179"/>
              <w:numPr>
                <w:ilvl w:val="0"/>
                <w:numId w:val="5"/>
              </w:numPr>
              <w:ind w:right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экстерны подают </w:t>
            </w:r>
            <w:hyperlink r:id="rId12" w:history="1">
              <w:r>
                <w:rPr>
                  <w:rStyle w:val="66"/>
                  <w:rFonts w:ascii="Times New Roman" w:hAnsi="Times New Roman" w:cs="Times New Roman" w:eastAsia="Times New Roman"/>
                  <w:color w:val="0000EE"/>
                  <w:sz w:val="24"/>
                  <w:u w:val="single"/>
                </w:rPr>
                <w:t xml:space="preserve">заявления на участие в ГИА-9</w:t>
              </w:r>
            </w:hyperlink>
            <w:r/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4214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 образовательных организациях по месту жительства участника </w:t>
            </w:r>
            <w:hyperlink r:id="rId13" w:history="1">
              <w:r>
                <w:rPr>
                  <w:rStyle w:val="66"/>
                  <w:rFonts w:ascii="Times New Roman" w:hAnsi="Times New Roman" w:cs="Times New Roman" w:eastAsia="Times New Roman"/>
                  <w:color w:val="0000EE"/>
                  <w:sz w:val="24"/>
                  <w:u w:val="single"/>
                </w:rPr>
                <w:t xml:space="preserve">(адреса и контактные телефоны МОУО)</w:t>
              </w:r>
            </w:hyperlink>
            <w:r/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1661" w:type="dxa"/>
            <w:textDirection w:val="lrTb"/>
            <w:noWrap w:val="false"/>
          </w:tcPr>
          <w:p>
            <w:pPr>
              <w:pStyle w:val="179"/>
              <w:numPr>
                <w:ilvl w:val="0"/>
                <w:numId w:val="6"/>
              </w:numPr>
              <w:ind w:right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досрочный период (апрель-май);</w:t>
            </w:r>
            <w:r/>
          </w:p>
          <w:p>
            <w:pPr>
              <w:pStyle w:val="179"/>
              <w:numPr>
                <w:ilvl w:val="0"/>
                <w:numId w:val="6"/>
              </w:numPr>
              <w:ind w:right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основной период (май-июль);</w:t>
            </w:r>
            <w:r/>
          </w:p>
          <w:p>
            <w:pPr>
              <w:pStyle w:val="179"/>
              <w:numPr>
                <w:ilvl w:val="0"/>
                <w:numId w:val="6"/>
              </w:numPr>
              <w:ind w:right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дополнительные сроки (сентябрь)</w:t>
            </w:r>
            <w:r/>
          </w:p>
        </w:tc>
      </w:tr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3479" w:type="dxa"/>
            <w:textDirection w:val="lrTb"/>
            <w:noWrap w:val="false"/>
          </w:tcPr>
          <w:p>
            <w:pPr>
              <w:pStyle w:val="179"/>
              <w:numPr>
                <w:ilvl w:val="0"/>
                <w:numId w:val="7"/>
              </w:numPr>
              <w:ind w:right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не прошедшие ГИА-9 в предыдущие годы подают </w:t>
            </w:r>
            <w:hyperlink r:id="rId14" w:history="1">
              <w:r>
                <w:rPr>
                  <w:rStyle w:val="66"/>
                  <w:rFonts w:ascii="Times New Roman" w:hAnsi="Times New Roman" w:cs="Times New Roman" w:eastAsia="Times New Roman"/>
                  <w:color w:val="0000EE"/>
                  <w:sz w:val="24"/>
                  <w:u w:val="single"/>
                </w:rPr>
                <w:t xml:space="preserve">заявления на участие в ГИА-9</w:t>
              </w:r>
            </w:hyperlink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1661" w:type="dxa"/>
            <w:textDirection w:val="lrTb"/>
            <w:noWrap w:val="false"/>
          </w:tcPr>
          <w:p>
            <w:pPr>
              <w:pStyle w:val="179"/>
              <w:numPr>
                <w:ilvl w:val="0"/>
                <w:numId w:val="8"/>
              </w:numPr>
              <w:ind w:right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досрочный период (апрель-май);</w:t>
            </w:r>
            <w:r/>
          </w:p>
          <w:p>
            <w:pPr>
              <w:pStyle w:val="179"/>
              <w:numPr>
                <w:ilvl w:val="0"/>
                <w:numId w:val="8"/>
              </w:numPr>
              <w:ind w:right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основной период (май-июль);</w:t>
            </w:r>
            <w:r/>
          </w:p>
          <w:p>
            <w:pPr>
              <w:pStyle w:val="179"/>
              <w:numPr>
                <w:ilvl w:val="0"/>
                <w:numId w:val="8"/>
              </w:numPr>
              <w:ind w:right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дополнительные сроки (сентябрь)</w:t>
            </w:r>
            <w:r/>
          </w:p>
        </w:tc>
      </w:tr>
    </w:tbl>
    <w:p>
      <w:pPr>
        <w:ind w:left="0" w:right="0" w:firstLine="0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2.2. Проведение ГИА-9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организуется в соответствии с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расписанием, утвержденным Рособрнадзором,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в пунктах проведения экзаменов (ППЭ).</w:t>
      </w:r>
      <w:r/>
    </w:p>
    <w:p>
      <w:pPr>
        <w:ind w:left="0" w:right="0" w:firstLine="0"/>
        <w:jc w:val="both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2.3. Официальное ознакомление с результатами ГИА-9:</w:t>
      </w:r>
      <w:r/>
    </w:p>
    <w:tbl>
      <w:tblPr>
        <w:tblStyle w:val="44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247"/>
        <w:gridCol w:w="3938"/>
        <w:gridCol w:w="4169"/>
      </w:tblGrid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124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Категории участников ГИА-9</w:t>
            </w:r>
            <w:r/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393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Места ознакомления с ГИА-9</w:t>
            </w:r>
            <w:r/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416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240" w:before="24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Сроки ознакомления с результатами ГИА-9</w:t>
            </w:r>
            <w:r/>
          </w:p>
        </w:tc>
      </w:tr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1247" w:type="dxa"/>
            <w:textDirection w:val="lrTb"/>
            <w:noWrap w:val="false"/>
          </w:tcPr>
          <w:p>
            <w:pPr>
              <w:pStyle w:val="179"/>
              <w:numPr>
                <w:ilvl w:val="0"/>
                <w:numId w:val="9"/>
              </w:numPr>
              <w:ind w:right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выпускники 9 классов</w:t>
            </w:r>
            <w:r/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3938" w:type="dxa"/>
            <w:textDirection w:val="lrTb"/>
            <w:noWrap w:val="false"/>
          </w:tcPr>
          <w:p>
            <w:pPr>
              <w:spacing w:lineRule="atLeast" w:line="57" w:after="0" w:befor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 образовательных организациях, в которых проходят обучение</w:t>
            </w:r>
            <w:r/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4169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не позднее 1 календарного дня со дня утверждения результатов ГЭК Волгоградской области (согласно графику)</w:t>
            </w:r>
            <w:r/>
          </w:p>
        </w:tc>
      </w:tr>
      <w:tr>
        <w:trPr/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1247" w:type="dxa"/>
            <w:textDirection w:val="lrTb"/>
            <w:noWrap w:val="false"/>
          </w:tcPr>
          <w:p>
            <w:pPr>
              <w:pStyle w:val="179"/>
              <w:numPr>
                <w:ilvl w:val="0"/>
                <w:numId w:val="10"/>
              </w:numPr>
              <w:ind w:right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экстерны</w:t>
            </w:r>
            <w:r/>
          </w:p>
        </w:tc>
        <w:tc>
          <w:tcPr>
            <w:tcBorders>
              <w:left w:val="single" w:color="808080" w:sz="6" w:space="0"/>
              <w:top w:val="single" w:color="808080" w:sz="6" w:space="0"/>
              <w:right w:val="single" w:color="808080" w:sz="6" w:space="0"/>
              <w:bottom w:val="single" w:color="808080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3938" w:type="dxa"/>
            <w:textDirection w:val="lrTb"/>
            <w:noWrap w:val="false"/>
          </w:tcPr>
          <w:p>
            <w:pPr>
              <w:spacing w:lineRule="atLeast" w:line="57" w:after="0" w:befor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 образовательных организациях по месту жительства участника </w:t>
            </w:r>
            <w:hyperlink r:id="rId15" w:history="1">
              <w:r>
                <w:rPr>
                  <w:rStyle w:val="66"/>
                  <w:rFonts w:ascii="Times New Roman" w:hAnsi="Times New Roman" w:cs="Times New Roman" w:eastAsia="Times New Roman"/>
                  <w:color w:val="0000EE"/>
                  <w:sz w:val="24"/>
                  <w:u w:val="single"/>
                </w:rPr>
                <w:t xml:space="preserve">(адреса и контактные телефоны МОУО)</w:t>
              </w:r>
            </w:hyperlink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ind w:left="0" w:right="0" w:firstLine="0"/>
        <w:jc w:val="both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2.4. Информация о сроках, местах и порядке подачи и рассмотрения апелляций</w:t>
      </w:r>
      <w:r/>
    </w:p>
    <w:p>
      <w:pPr>
        <w:pStyle w:val="179"/>
        <w:numPr>
          <w:ilvl w:val="0"/>
          <w:numId w:val="11"/>
        </w:numPr>
        <w:ind w:right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u w:val="single"/>
        </w:rPr>
        <w:t xml:space="preserve">Апелляцию о нарушении установленного Порядка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проведения ГИА-9 участник экзамена подаёт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в день проведения экзамена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по соответствующему учебному предмету члену ГЭК, не покидая ППЭ. Апелляционная комиссия рассматривает апелляцию о нарушении Порядка проведения ГИА-9 в течение двух рабочих дней, следующих за днем ее поступления в конфликтную комиссию.</w:t>
      </w:r>
      <w:r/>
    </w:p>
    <w:p>
      <w:pPr>
        <w:pStyle w:val="179"/>
        <w:numPr>
          <w:ilvl w:val="0"/>
          <w:numId w:val="11"/>
        </w:numPr>
        <w:ind w:right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u w:val="single"/>
        </w:rPr>
        <w:t xml:space="preserve">Апелляция о несогласии с выставленными баллами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подаётся в течение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двух рабочих дней,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следующих за официальным днем объявления результатов экзамена по соответствующему учебному предмету. Подача апелляции о несогласии с выставленными баллами осуществляется лично участником ГИА-9 или их родителями (законными представителями) в местах подачи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заявления на участие в ГИА-9. 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комиссию.</w:t>
      </w:r>
      <w:r/>
    </w:p>
    <w:p>
      <w:pPr>
        <w:pStyle w:val="179"/>
        <w:numPr>
          <w:ilvl w:val="0"/>
          <w:numId w:val="11"/>
        </w:numPr>
        <w:ind w:right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э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кзамена требований Порядка проведения ГИА-9 и неправильным оформлением бланков ОГЭ и ГВЭ-9.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/>
      <w:hyperlink r:id="rId16" w:history="1">
        <w:r>
          <w:rPr>
            <w:rStyle w:val="66"/>
          </w:rPr>
        </w:r>
        <w:r>
          <w:rPr>
            <w:rStyle w:val="66"/>
          </w:rPr>
        </w:r>
      </w:hyperlink>
      <w:r/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/>
      <w:hyperlink r:id="rId17" w:history="1">
        <w:r>
          <w:rPr>
            <w:rStyle w:val="66"/>
          </w:rPr>
        </w:r>
        <w:r>
          <w:rPr>
            <w:rStyle w:val="66"/>
          </w:rPr>
        </w:r>
      </w:hyperlink>
      <w:r/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/>
      <w:hyperlink r:id="rId18" w:history="1">
        <w:r>
          <w:rPr>
            <w:rStyle w:val="66"/>
          </w:rPr>
        </w:r>
        <w:r>
          <w:rPr>
            <w:rStyle w:val="66"/>
          </w:rPr>
        </w:r>
      </w:hyperlink>
      <w:r/>
      <w:r/>
    </w:p>
    <w:p>
      <w:r/>
    </w:p>
    <w:sectPr>
      <w:foot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</w:p>
  </w:footnote>
  <w:footnote w:type="continuationSeparator" w:id="0">
    <w:p>
      <w:pPr>
        <w:spacing w:lineRule="auto" w:line="240" w:after="0"/>
      </w:pPr>
      <w:r/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00"/>
        <w:sz w:val="24"/>
      </w:rPr>
    </w:lvl>
    <w:lvl w:ilvl="1">
      <w:start w:val="1"/>
      <w:numFmt w:val="bullet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00"/>
        <w:sz w:val="24"/>
      </w:rPr>
    </w:lvl>
    <w:lvl w:ilvl="2">
      <w:start w:val="1"/>
      <w:numFmt w:val="bullet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00"/>
        <w:sz w:val="24"/>
      </w:rPr>
    </w:lvl>
    <w:lvl w:ilvl="3">
      <w:start w:val="1"/>
      <w:numFmt w:val="bullet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00"/>
        <w:sz w:val="24"/>
      </w:rPr>
    </w:lvl>
    <w:lvl w:ilvl="4">
      <w:start w:val="1"/>
      <w:numFmt w:val="bullet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00"/>
        <w:sz w:val="24"/>
      </w:rPr>
    </w:lvl>
    <w:lvl w:ilvl="5">
      <w:start w:val="1"/>
      <w:numFmt w:val="bullet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00"/>
        <w:sz w:val="24"/>
      </w:rPr>
    </w:lvl>
    <w:lvl w:ilvl="6">
      <w:start w:val="1"/>
      <w:numFmt w:val="bullet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00"/>
        <w:sz w:val="24"/>
      </w:rPr>
    </w:lvl>
    <w:lvl w:ilvl="7">
      <w:start w:val="1"/>
      <w:numFmt w:val="bullet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00"/>
        <w:sz w:val="24"/>
      </w:rPr>
    </w:lvl>
    <w:lvl w:ilvl="8">
      <w:start w:val="1"/>
      <w:numFmt w:val="bullet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00"/>
        <w:sz w:val="24"/>
      </w:rPr>
    </w:lvl>
  </w:abstractNum>
  <w:abstractNum w:abstractNumId="1">
    <w:multiLevelType w:val="hybridMultilevel"/>
    <w:lvl w:ilvl="0">
      <w:start w:val="1"/>
      <w:numFmt w:val="bullet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00"/>
        <w:sz w:val="24"/>
      </w:rPr>
    </w:lvl>
    <w:lvl w:ilvl="1">
      <w:start w:val="1"/>
      <w:numFmt w:val="bullet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00"/>
        <w:sz w:val="24"/>
      </w:rPr>
    </w:lvl>
    <w:lvl w:ilvl="2">
      <w:start w:val="1"/>
      <w:numFmt w:val="bullet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00"/>
        <w:sz w:val="24"/>
      </w:rPr>
    </w:lvl>
    <w:lvl w:ilvl="3">
      <w:start w:val="1"/>
      <w:numFmt w:val="bullet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00"/>
        <w:sz w:val="24"/>
      </w:rPr>
    </w:lvl>
    <w:lvl w:ilvl="4">
      <w:start w:val="1"/>
      <w:numFmt w:val="bullet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00"/>
        <w:sz w:val="24"/>
      </w:rPr>
    </w:lvl>
    <w:lvl w:ilvl="5">
      <w:start w:val="1"/>
      <w:numFmt w:val="bullet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00"/>
        <w:sz w:val="24"/>
      </w:rPr>
    </w:lvl>
    <w:lvl w:ilvl="6">
      <w:start w:val="1"/>
      <w:numFmt w:val="bullet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00"/>
        <w:sz w:val="24"/>
      </w:rPr>
    </w:lvl>
    <w:lvl w:ilvl="7">
      <w:start w:val="1"/>
      <w:numFmt w:val="bullet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00"/>
        <w:sz w:val="24"/>
      </w:rPr>
    </w:lvl>
    <w:lvl w:ilvl="8">
      <w:start w:val="1"/>
      <w:numFmt w:val="bullet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00"/>
        <w:sz w:val="24"/>
      </w:rPr>
    </w:lvl>
  </w:abstractNum>
  <w:abstractNum w:abstractNumId="2">
    <w:multiLevelType w:val="hybridMultilevel"/>
    <w:lvl w:ilvl="0">
      <w:start w:val="1"/>
      <w:numFmt w:val="bullet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00"/>
        <w:sz w:val="24"/>
      </w:rPr>
    </w:lvl>
    <w:lvl w:ilvl="1">
      <w:start w:val="1"/>
      <w:numFmt w:val="bullet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00"/>
        <w:sz w:val="24"/>
      </w:rPr>
    </w:lvl>
    <w:lvl w:ilvl="2">
      <w:start w:val="1"/>
      <w:numFmt w:val="bullet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00"/>
        <w:sz w:val="24"/>
      </w:rPr>
    </w:lvl>
    <w:lvl w:ilvl="3">
      <w:start w:val="1"/>
      <w:numFmt w:val="bullet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00"/>
        <w:sz w:val="24"/>
      </w:rPr>
    </w:lvl>
    <w:lvl w:ilvl="4">
      <w:start w:val="1"/>
      <w:numFmt w:val="bullet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00"/>
        <w:sz w:val="24"/>
      </w:rPr>
    </w:lvl>
    <w:lvl w:ilvl="5">
      <w:start w:val="1"/>
      <w:numFmt w:val="bullet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00"/>
        <w:sz w:val="24"/>
      </w:rPr>
    </w:lvl>
    <w:lvl w:ilvl="6">
      <w:start w:val="1"/>
      <w:numFmt w:val="bullet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00"/>
        <w:sz w:val="24"/>
      </w:rPr>
    </w:lvl>
    <w:lvl w:ilvl="7">
      <w:start w:val="1"/>
      <w:numFmt w:val="bullet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00"/>
        <w:sz w:val="24"/>
      </w:rPr>
    </w:lvl>
    <w:lvl w:ilvl="8">
      <w:start w:val="1"/>
      <w:numFmt w:val="bullet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00"/>
        <w:sz w:val="24"/>
      </w:rPr>
    </w:lvl>
  </w:abstractNum>
  <w:abstractNum w:abstractNumId="3">
    <w:multiLevelType w:val="hybridMultilevel"/>
    <w:lvl w:ilvl="0">
      <w:start w:val="1"/>
      <w:numFmt w:val="bullet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abstractNum w:abstractNumId="4">
    <w:multiLevelType w:val="hybridMultilevel"/>
    <w:lvl w:ilvl="0">
      <w:start w:val="1"/>
      <w:numFmt w:val="bullet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00"/>
        <w:sz w:val="24"/>
      </w:rPr>
    </w:lvl>
    <w:lvl w:ilvl="1">
      <w:start w:val="1"/>
      <w:numFmt w:val="bullet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00"/>
        <w:sz w:val="24"/>
      </w:rPr>
    </w:lvl>
    <w:lvl w:ilvl="2">
      <w:start w:val="1"/>
      <w:numFmt w:val="bullet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00"/>
        <w:sz w:val="24"/>
      </w:rPr>
    </w:lvl>
    <w:lvl w:ilvl="3">
      <w:start w:val="1"/>
      <w:numFmt w:val="bullet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00"/>
        <w:sz w:val="24"/>
      </w:rPr>
    </w:lvl>
    <w:lvl w:ilvl="4">
      <w:start w:val="1"/>
      <w:numFmt w:val="bullet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00"/>
        <w:sz w:val="24"/>
      </w:rPr>
    </w:lvl>
    <w:lvl w:ilvl="5">
      <w:start w:val="1"/>
      <w:numFmt w:val="bullet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00"/>
        <w:sz w:val="24"/>
      </w:rPr>
    </w:lvl>
    <w:lvl w:ilvl="6">
      <w:start w:val="1"/>
      <w:numFmt w:val="bullet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00"/>
        <w:sz w:val="24"/>
      </w:rPr>
    </w:lvl>
    <w:lvl w:ilvl="7">
      <w:start w:val="1"/>
      <w:numFmt w:val="bullet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00"/>
        <w:sz w:val="24"/>
      </w:rPr>
    </w:lvl>
    <w:lvl w:ilvl="8">
      <w:start w:val="1"/>
      <w:numFmt w:val="bullet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00"/>
        <w:sz w:val="24"/>
      </w:rPr>
    </w:lvl>
  </w:abstractNum>
  <w:abstractNum w:abstractNumId="5">
    <w:multiLevelType w:val="hybridMultilevel"/>
    <w:lvl w:ilvl="0">
      <w:start w:val="1"/>
      <w:numFmt w:val="bullet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abstractNum w:abstractNumId="6">
    <w:multiLevelType w:val="hybridMultilevel"/>
    <w:lvl w:ilvl="0">
      <w:start w:val="1"/>
      <w:numFmt w:val="bullet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00"/>
        <w:sz w:val="24"/>
      </w:rPr>
    </w:lvl>
    <w:lvl w:ilvl="1">
      <w:start w:val="1"/>
      <w:numFmt w:val="bullet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00"/>
        <w:sz w:val="24"/>
      </w:rPr>
    </w:lvl>
    <w:lvl w:ilvl="2">
      <w:start w:val="1"/>
      <w:numFmt w:val="bullet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00"/>
        <w:sz w:val="24"/>
      </w:rPr>
    </w:lvl>
    <w:lvl w:ilvl="3">
      <w:start w:val="1"/>
      <w:numFmt w:val="bullet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00"/>
        <w:sz w:val="24"/>
      </w:rPr>
    </w:lvl>
    <w:lvl w:ilvl="4">
      <w:start w:val="1"/>
      <w:numFmt w:val="bullet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00"/>
        <w:sz w:val="24"/>
      </w:rPr>
    </w:lvl>
    <w:lvl w:ilvl="5">
      <w:start w:val="1"/>
      <w:numFmt w:val="bullet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00"/>
        <w:sz w:val="24"/>
      </w:rPr>
    </w:lvl>
    <w:lvl w:ilvl="6">
      <w:start w:val="1"/>
      <w:numFmt w:val="bullet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00"/>
        <w:sz w:val="24"/>
      </w:rPr>
    </w:lvl>
    <w:lvl w:ilvl="7">
      <w:start w:val="1"/>
      <w:numFmt w:val="bullet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00"/>
        <w:sz w:val="24"/>
      </w:rPr>
    </w:lvl>
    <w:lvl w:ilvl="8">
      <w:start w:val="1"/>
      <w:numFmt w:val="bullet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00"/>
        <w:sz w:val="24"/>
      </w:rPr>
    </w:lvl>
  </w:abstractNum>
  <w:abstractNum w:abstractNumId="7">
    <w:multiLevelType w:val="hybridMultilevel"/>
    <w:lvl w:ilvl="0">
      <w:start w:val="1"/>
      <w:numFmt w:val="bullet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abstractNum w:abstractNumId="8">
    <w:multiLevelType w:val="hybridMultilevel"/>
    <w:lvl w:ilvl="0">
      <w:start w:val="1"/>
      <w:numFmt w:val="bullet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abstractNum w:abstractNumId="9">
    <w:multiLevelType w:val="hybridMultilevel"/>
    <w:lvl w:ilvl="0">
      <w:start w:val="1"/>
      <w:numFmt w:val="bullet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abstractNum w:abstractNumId="10">
    <w:multiLevelType w:val="hybridMultilevel"/>
    <w:lvl w:ilvl="0">
      <w:start w:val="1"/>
      <w:numFmt w:val="bullet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00"/>
        <w:sz w:val="24"/>
      </w:rPr>
    </w:lvl>
    <w:lvl w:ilvl="1">
      <w:start w:val="1"/>
      <w:numFmt w:val="bullet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00"/>
        <w:sz w:val="24"/>
      </w:rPr>
    </w:lvl>
    <w:lvl w:ilvl="2">
      <w:start w:val="1"/>
      <w:numFmt w:val="bullet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00"/>
        <w:sz w:val="24"/>
      </w:rPr>
    </w:lvl>
    <w:lvl w:ilvl="3">
      <w:start w:val="1"/>
      <w:numFmt w:val="bullet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00"/>
        <w:sz w:val="24"/>
      </w:rPr>
    </w:lvl>
    <w:lvl w:ilvl="4">
      <w:start w:val="1"/>
      <w:numFmt w:val="bullet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00"/>
        <w:sz w:val="24"/>
      </w:rPr>
    </w:lvl>
    <w:lvl w:ilvl="5">
      <w:start w:val="1"/>
      <w:numFmt w:val="bullet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00"/>
        <w:sz w:val="24"/>
      </w:rPr>
    </w:lvl>
    <w:lvl w:ilvl="6">
      <w:start w:val="1"/>
      <w:numFmt w:val="bullet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00"/>
        <w:sz w:val="24"/>
      </w:rPr>
    </w:lvl>
    <w:lvl w:ilvl="7">
      <w:start w:val="1"/>
      <w:numFmt w:val="bullet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00"/>
        <w:sz w:val="24"/>
      </w:rPr>
    </w:lvl>
    <w:lvl w:ilvl="8">
      <w:start w:val="1"/>
      <w:numFmt w:val="bullet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00"/>
        <w:sz w:val="24"/>
      </w:rPr>
    </w:lvl>
  </w:abstractNum>
  <w:abstractNum w:abstractNumId="11">
    <w:multiLevelType w:val="hybridMultilevel"/>
    <w:lvl w:ilvl="0">
      <w:start w:val="1"/>
      <w:numFmt w:val="bullet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00"/>
        <w:sz w:val="24"/>
      </w:rPr>
    </w:lvl>
    <w:lvl w:ilvl="1">
      <w:start w:val="1"/>
      <w:numFmt w:val="bullet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00"/>
        <w:sz w:val="24"/>
      </w:rPr>
    </w:lvl>
    <w:lvl w:ilvl="2">
      <w:start w:val="1"/>
      <w:numFmt w:val="bullet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00"/>
        <w:sz w:val="24"/>
      </w:rPr>
    </w:lvl>
    <w:lvl w:ilvl="3">
      <w:start w:val="1"/>
      <w:numFmt w:val="bullet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00"/>
        <w:sz w:val="24"/>
      </w:rPr>
    </w:lvl>
    <w:lvl w:ilvl="4">
      <w:start w:val="1"/>
      <w:numFmt w:val="bullet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00"/>
        <w:sz w:val="24"/>
      </w:rPr>
    </w:lvl>
    <w:lvl w:ilvl="5">
      <w:start w:val="1"/>
      <w:numFmt w:val="bullet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00"/>
        <w:sz w:val="24"/>
      </w:rPr>
    </w:lvl>
    <w:lvl w:ilvl="6">
      <w:start w:val="1"/>
      <w:numFmt w:val="bullet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00"/>
        <w:sz w:val="24"/>
      </w:rPr>
    </w:lvl>
    <w:lvl w:ilvl="7">
      <w:start w:val="1"/>
      <w:numFmt w:val="bullet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00"/>
        <w:sz w:val="24"/>
      </w:rPr>
    </w:lvl>
    <w:lvl w:ilvl="8">
      <w:start w:val="1"/>
      <w:numFmt w:val="bullet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00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."/>
  <w:listSeparator w:val=",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9"/>
    <w:link w:val="16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9"/>
    <w:link w:val="162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9"/>
    <w:link w:val="163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9"/>
    <w:link w:val="164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9"/>
    <w:link w:val="165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9"/>
    <w:link w:val="166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9"/>
    <w:link w:val="16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9"/>
    <w:link w:val="168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9"/>
    <w:link w:val="169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9"/>
    <w:link w:val="178"/>
    <w:uiPriority w:val="10"/>
    <w:rPr>
      <w:sz w:val="48"/>
      <w:szCs w:val="48"/>
    </w:rPr>
  </w:style>
  <w:style w:type="character" w:styleId="35">
    <w:name w:val="Subtitle Char"/>
    <w:basedOn w:val="9"/>
    <w:link w:val="176"/>
    <w:uiPriority w:val="11"/>
    <w:rPr>
      <w:sz w:val="24"/>
      <w:szCs w:val="24"/>
    </w:rPr>
  </w:style>
  <w:style w:type="character" w:styleId="37">
    <w:name w:val="Quote Char"/>
    <w:link w:val="175"/>
    <w:uiPriority w:val="29"/>
    <w:rPr>
      <w:i/>
    </w:rPr>
  </w:style>
  <w:style w:type="character" w:styleId="39">
    <w:name w:val="Intense Quote Char"/>
    <w:link w:val="177"/>
    <w:uiPriority w:val="30"/>
    <w:rPr>
      <w:i/>
    </w:rPr>
  </w:style>
  <w:style w:type="character" w:styleId="41">
    <w:name w:val="Header Char"/>
    <w:basedOn w:val="9"/>
    <w:link w:val="173"/>
    <w:uiPriority w:val="99"/>
  </w:style>
  <w:style w:type="character" w:styleId="43">
    <w:name w:val="Footer Char"/>
    <w:basedOn w:val="9"/>
    <w:link w:val="172"/>
    <w:uiPriority w:val="99"/>
  </w:style>
  <w:style w:type="table" w:styleId="44">
    <w:name w:val="Table Grid"/>
    <w:basedOn w:val="17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">
    <w:name w:val="Lined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6">
    <w:name w:val="Lined - Accent 1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7">
    <w:name w:val="Lined - Accent 2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8">
    <w:name w:val="Lined - Accent 3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49">
    <w:name w:val="Lined - Accent 4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0">
    <w:name w:val="Lined - Accent 5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1">
    <w:name w:val="Lined - Accent 6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52">
    <w:name w:val="Bordered"/>
    <w:basedOn w:val="1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53">
    <w:name w:val="Bordered - Accent 1"/>
    <w:basedOn w:val="1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54">
    <w:name w:val="Bordered - Accent 2"/>
    <w:basedOn w:val="1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55">
    <w:name w:val="Bordered - Accent 3"/>
    <w:basedOn w:val="1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56">
    <w:name w:val="Bordered - Accent 4"/>
    <w:basedOn w:val="1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57">
    <w:name w:val="Bordered - Accent 5"/>
    <w:basedOn w:val="1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58">
    <w:name w:val="Bordered - Accent 6"/>
    <w:basedOn w:val="1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59">
    <w:name w:val="Bordered &amp; Lined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60">
    <w:name w:val="Bordered &amp; Lined - Accent 1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61">
    <w:name w:val="Bordered &amp; Lined - Accent 2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62">
    <w:name w:val="Bordered &amp; Lined - Accent 3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63">
    <w:name w:val="Bordered &amp; Lined - Accent 4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64">
    <w:name w:val="Bordered &amp; Lined - Accent 5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65">
    <w:name w:val="Bordered &amp; Lined - Accent 6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66">
    <w:name w:val="Hyperlink"/>
    <w:uiPriority w:val="99"/>
    <w:unhideWhenUsed/>
    <w:rPr>
      <w:color w:val="0000FF" w:themeColor="hyperlink"/>
      <w:u w:val="single"/>
    </w:rPr>
  </w:style>
  <w:style w:type="paragraph" w:styleId="67">
    <w:name w:val="footnote text"/>
    <w:basedOn w:val="160"/>
    <w:link w:val="68"/>
    <w:uiPriority w:val="99"/>
    <w:semiHidden/>
    <w:unhideWhenUsed/>
    <w:rPr>
      <w:sz w:val="18"/>
    </w:rPr>
    <w:pPr>
      <w:spacing w:lineRule="auto" w:line="240" w:after="40"/>
    </w:pPr>
  </w:style>
  <w:style w:type="character" w:styleId="68">
    <w:name w:val="Footnote Text Char"/>
    <w:link w:val="67"/>
    <w:uiPriority w:val="99"/>
    <w:rPr>
      <w:sz w:val="18"/>
    </w:rPr>
  </w:style>
  <w:style w:type="character" w:styleId="69">
    <w:name w:val="footnote reference"/>
    <w:basedOn w:val="9"/>
    <w:uiPriority w:val="99"/>
    <w:unhideWhenUsed/>
    <w:rPr>
      <w:vertAlign w:val="superscript"/>
    </w:rPr>
  </w:style>
  <w:style w:type="paragraph" w:styleId="70">
    <w:name w:val="toc 1"/>
    <w:basedOn w:val="160"/>
    <w:next w:val="160"/>
    <w:uiPriority w:val="39"/>
    <w:unhideWhenUsed/>
    <w:pPr>
      <w:ind w:left="0" w:right="0" w:firstLine="0"/>
      <w:spacing w:after="57"/>
    </w:pPr>
  </w:style>
  <w:style w:type="paragraph" w:styleId="71">
    <w:name w:val="toc 2"/>
    <w:basedOn w:val="160"/>
    <w:next w:val="160"/>
    <w:uiPriority w:val="39"/>
    <w:unhideWhenUsed/>
    <w:pPr>
      <w:ind w:left="283" w:right="0" w:firstLine="0"/>
      <w:spacing w:after="57"/>
    </w:pPr>
  </w:style>
  <w:style w:type="paragraph" w:styleId="72">
    <w:name w:val="toc 3"/>
    <w:basedOn w:val="160"/>
    <w:next w:val="160"/>
    <w:uiPriority w:val="39"/>
    <w:unhideWhenUsed/>
    <w:pPr>
      <w:ind w:left="567" w:right="0" w:firstLine="0"/>
      <w:spacing w:after="57"/>
    </w:pPr>
  </w:style>
  <w:style w:type="paragraph" w:styleId="73">
    <w:name w:val="toc 4"/>
    <w:basedOn w:val="160"/>
    <w:next w:val="160"/>
    <w:uiPriority w:val="39"/>
    <w:unhideWhenUsed/>
    <w:pPr>
      <w:ind w:left="850" w:right="0" w:firstLine="0"/>
      <w:spacing w:after="57"/>
    </w:pPr>
  </w:style>
  <w:style w:type="paragraph" w:styleId="74">
    <w:name w:val="toc 5"/>
    <w:basedOn w:val="160"/>
    <w:next w:val="160"/>
    <w:uiPriority w:val="39"/>
    <w:unhideWhenUsed/>
    <w:pPr>
      <w:ind w:left="1134" w:right="0" w:firstLine="0"/>
      <w:spacing w:after="57"/>
    </w:pPr>
  </w:style>
  <w:style w:type="paragraph" w:styleId="75">
    <w:name w:val="toc 6"/>
    <w:basedOn w:val="160"/>
    <w:next w:val="160"/>
    <w:uiPriority w:val="39"/>
    <w:unhideWhenUsed/>
    <w:pPr>
      <w:ind w:left="1417" w:right="0" w:firstLine="0"/>
      <w:spacing w:after="57"/>
    </w:pPr>
  </w:style>
  <w:style w:type="paragraph" w:styleId="76">
    <w:name w:val="toc 7"/>
    <w:basedOn w:val="160"/>
    <w:next w:val="160"/>
    <w:uiPriority w:val="39"/>
    <w:unhideWhenUsed/>
    <w:pPr>
      <w:ind w:left="1701" w:right="0" w:firstLine="0"/>
      <w:spacing w:after="57"/>
    </w:pPr>
  </w:style>
  <w:style w:type="paragraph" w:styleId="77">
    <w:name w:val="toc 8"/>
    <w:basedOn w:val="160"/>
    <w:next w:val="160"/>
    <w:uiPriority w:val="39"/>
    <w:unhideWhenUsed/>
    <w:pPr>
      <w:ind w:left="1984" w:right="0" w:firstLine="0"/>
      <w:spacing w:after="57"/>
    </w:pPr>
  </w:style>
  <w:style w:type="paragraph" w:styleId="78">
    <w:name w:val="toc 9"/>
    <w:basedOn w:val="160"/>
    <w:next w:val="160"/>
    <w:uiPriority w:val="39"/>
    <w:unhideWhenUsed/>
    <w:pPr>
      <w:ind w:left="2268" w:right="0" w:firstLine="0"/>
      <w:spacing w:after="57"/>
    </w:pPr>
  </w:style>
  <w:style w:type="paragraph" w:styleId="79">
    <w:name w:val="TOC Heading"/>
    <w:uiPriority w:val="39"/>
    <w:unhideWhenUsed/>
  </w:style>
  <w:style w:type="paragraph" w:styleId="160" w:default="1">
    <w:name w:val="Normal"/>
    <w:qFormat/>
  </w:style>
  <w:style w:type="paragraph" w:styleId="161">
    <w:name w:val="Heading 1"/>
    <w:basedOn w:val="160"/>
    <w:next w:val="160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162">
    <w:name w:val="Heading 2"/>
    <w:basedOn w:val="160"/>
    <w:next w:val="160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163">
    <w:name w:val="Heading 3"/>
    <w:basedOn w:val="160"/>
    <w:next w:val="160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164">
    <w:name w:val="Heading 4"/>
    <w:basedOn w:val="160"/>
    <w:next w:val="160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165">
    <w:name w:val="Heading 5"/>
    <w:basedOn w:val="160"/>
    <w:next w:val="160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166">
    <w:name w:val="Heading 6"/>
    <w:basedOn w:val="160"/>
    <w:next w:val="160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167">
    <w:name w:val="Heading 7"/>
    <w:basedOn w:val="160"/>
    <w:next w:val="160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168">
    <w:name w:val="Heading 8"/>
    <w:basedOn w:val="160"/>
    <w:next w:val="160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169">
    <w:name w:val="Heading 9"/>
    <w:basedOn w:val="160"/>
    <w:next w:val="160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table" w:styleId="1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71" w:default="1">
    <w:name w:val="No List"/>
    <w:uiPriority w:val="99"/>
    <w:semiHidden/>
    <w:unhideWhenUsed/>
  </w:style>
  <w:style w:type="paragraph" w:styleId="172">
    <w:name w:val="Footer"/>
    <w:basedOn w:val="160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173">
    <w:name w:val="Header"/>
    <w:basedOn w:val="160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174">
    <w:name w:val="No Spacing"/>
    <w:basedOn w:val="160"/>
    <w:qFormat/>
    <w:uiPriority w:val="1"/>
    <w:pPr>
      <w:spacing w:lineRule="auto" w:line="240" w:after="0"/>
    </w:pPr>
  </w:style>
  <w:style w:type="paragraph" w:styleId="175">
    <w:name w:val="Quote"/>
    <w:basedOn w:val="160"/>
    <w:next w:val="160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176">
    <w:name w:val="Subtitle"/>
    <w:basedOn w:val="160"/>
    <w:next w:val="160"/>
    <w:qFormat/>
    <w:uiPriority w:val="11"/>
    <w:rPr>
      <w:rFonts w:ascii="Arial" w:hAnsi="Arial" w:cs="Arial" w:eastAsia="Arial"/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177">
    <w:name w:val="Intense Quote"/>
    <w:basedOn w:val="160"/>
    <w:next w:val="160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color="auto" w:fill="EEEEEE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178">
    <w:name w:val="Title"/>
    <w:basedOn w:val="160"/>
    <w:next w:val="160"/>
    <w:qFormat/>
    <w:uiPriority w:val="10"/>
    <w:rPr>
      <w:rFonts w:ascii="Arial" w:hAnsi="Arial" w:cs="Arial" w:eastAsia="Arial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paragraph" w:styleId="179">
    <w:name w:val="List Paragraph"/>
    <w:basedOn w:val="160"/>
    <w:qFormat/>
    <w:uiPriority w:val="34"/>
    <w:pPr>
      <w:contextualSpacing w:val="true"/>
      <w:ind w:left="720"/>
    </w:pPr>
  </w:style>
  <w:style w:type="character" w:styleId="184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yperlink" Target="http://vgapkro.ru/wp-content/uploads/2024/11/zayavlenie-na-is-9.docx" TargetMode="External"/><Relationship Id="rId9" Type="http://schemas.openxmlformats.org/officeDocument/2006/relationships/hyperlink" Target="http://vgapkro.ru/wp-content/uploads/2024/11/zayavlenie-na-is-9.docx" TargetMode="External"/><Relationship Id="rId10" Type="http://schemas.openxmlformats.org/officeDocument/2006/relationships/hyperlink" Target="http://vgapkro.ru/wp-content/uploads/2024/11/kontakty-msu.pdf" TargetMode="External"/><Relationship Id="rId11" Type="http://schemas.openxmlformats.org/officeDocument/2006/relationships/hyperlink" Target="http://vgapkro.ru/wp-content/uploads/2024/01/obrazecz-zayavleniya-ob-uchastii-v-gia_2024.docx" TargetMode="External"/><Relationship Id="rId12" Type="http://schemas.openxmlformats.org/officeDocument/2006/relationships/hyperlink" Target="http://vgapkro.ru/wp-content/uploads/2024/01/obrazecz-zayavleniya-ob-uchastii-v-gia_2024.docx" TargetMode="External"/><Relationship Id="rId13" Type="http://schemas.openxmlformats.org/officeDocument/2006/relationships/hyperlink" Target="http://vgapkro.ru/wp-content/uploads/2024/11/kontakty-msu.pdf" TargetMode="External"/><Relationship Id="rId14" Type="http://schemas.openxmlformats.org/officeDocument/2006/relationships/hyperlink" Target="http://vgapkro.ru/wp-content/uploads/2024/01/obrazecz-zayavleniya-ob-uchastii-v-gia_2024.docx" TargetMode="External"/><Relationship Id="rId15" Type="http://schemas.openxmlformats.org/officeDocument/2006/relationships/hyperlink" Target="http://vgapkro.ru/wp-content/uploads/2024/11/kontakty-msu.pdf" TargetMode="External"/><Relationship Id="rId16" Type="http://schemas.openxmlformats.org/officeDocument/2006/relationships/hyperlink" Target="http://vgapkro.ru/struktura-akademii/tsentry/rmc/" TargetMode="External"/><Relationship Id="rId17" Type="http://schemas.openxmlformats.org/officeDocument/2006/relationships/hyperlink" Target="http://vgapkro.ru/proektnyj-kabinet-2/" TargetMode="External"/><Relationship Id="rId18" Type="http://schemas.openxmlformats.org/officeDocument/2006/relationships/hyperlink" Target="http://vgapkro.ru/struktura-akademii/tsentry/center-nppmpr/" TargetMode="Externa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ONLYOFFICE/5.3.3.30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2025-01-10T08:33:24Z</dcterms:modified>
</cp:coreProperties>
</file>